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150"/>
        <w:jc w:val="left"/>
        <w:rPr>
          <w:b/>
          <w:bCs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Calibri" w:hAnsi="Calibri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一、语文、数学、英语考试大纲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exact"/>
        <w:ind w:left="300" w:right="150" w:firstLine="480" w:firstLineChars="200"/>
        <w:jc w:val="left"/>
        <w:rPr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Calibri" w:hAnsi="Calibri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参考《辽宁省职业教育中、高职对口招生考试纲要》。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150"/>
        <w:jc w:val="left"/>
        <w:rPr>
          <w:b/>
          <w:bCs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Calibri" w:hAnsi="Calibri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二、专业课考试大纲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ascii="Arial Narrow" w:hAnsi="Arial Narrow"/>
          <w:color w:val="333333"/>
          <w:sz w:val="24"/>
          <w:szCs w:val="24"/>
          <w:shd w:val="clear" w:fill="FFFFFF"/>
        </w:rPr>
        <w:t>笔试“专业基础理论”，实际操作考试“专业技能</w:t>
      </w: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”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2" w:firstLineChars="200"/>
        <w:jc w:val="left"/>
        <w:rPr>
          <w:rFonts w:hint="default" w:ascii="Arial Narrow" w:hAnsi="Arial Narrow" w:eastAsia="Arial Narrow" w:cs="Arial Narrow"/>
          <w:b/>
          <w:bCs w:val="0"/>
          <w:color w:val="333333"/>
          <w:sz w:val="24"/>
          <w:szCs w:val="24"/>
          <w:shd w:val="clear" w:fill="FFFFFF"/>
          <w:lang w:val="en-US"/>
        </w:rPr>
      </w:pPr>
      <w:r>
        <w:rPr>
          <w:rFonts w:ascii="Arial Narrow" w:hAnsi="Arial Narrow"/>
          <w:b/>
          <w:bCs w:val="0"/>
          <w:color w:val="333333"/>
          <w:sz w:val="24"/>
          <w:szCs w:val="24"/>
          <w:shd w:val="clear" w:fill="FFFFFF"/>
        </w:rPr>
        <w:t>（一）专业基础理论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ascii="Arial Narrow" w:hAnsi="Arial Narrow"/>
          <w:color w:val="333333"/>
          <w:sz w:val="24"/>
          <w:szCs w:val="24"/>
          <w:shd w:val="clear" w:fill="FFFFFF"/>
        </w:rPr>
        <w:t>考试内容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1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、会计的概念、职能、会计核算方法；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2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、会计假设和会计前提；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3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、会计的对象、会计要素的概念及其分类；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color w:val="000000"/>
          <w:sz w:val="24"/>
          <w:szCs w:val="24"/>
          <w:shd w:val="clear" w:fill="FFFFFF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4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</w:t>
      </w:r>
      <w:r>
        <w:rPr>
          <w:color w:val="000000"/>
          <w:sz w:val="24"/>
          <w:szCs w:val="24"/>
          <w:shd w:val="clear" w:fill="FFFFFF"/>
        </w:rPr>
        <w:t>会计科目及其分类；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5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、复式记账法、会计等式；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6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、借贷记账法，工业企业供产销业务的账务处理；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7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、财产清查的方法，财产清查结果的账务处理；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8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、利润的形成和分配，所得税费用的账务处理；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9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、银行存款余额调节表的编制；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10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、坏账的计算与账务处理。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11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、错账更正方法；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12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、账户的概念、分类和基本结构；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13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、会计账簿的内容和登记规则；</w:t>
      </w: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14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、总分类账与明细分类账的平行登记；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15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、试算平衡。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2" w:firstLineChars="200"/>
        <w:jc w:val="left"/>
        <w:rPr>
          <w:rFonts w:hint="default" w:ascii="Arial Narrow" w:hAnsi="Arial Narrow" w:eastAsia="Arial Narrow" w:cs="Arial Narrow"/>
          <w:b/>
          <w:bCs w:val="0"/>
          <w:color w:val="333333"/>
          <w:sz w:val="24"/>
          <w:szCs w:val="24"/>
          <w:shd w:val="clear" w:fill="FFFFFF"/>
          <w:lang w:val="en-US"/>
        </w:rPr>
      </w:pPr>
      <w:r>
        <w:rPr>
          <w:rFonts w:ascii="Arial Narrow" w:hAnsi="Arial Narrow"/>
          <w:b/>
          <w:bCs w:val="0"/>
          <w:color w:val="333333"/>
          <w:sz w:val="24"/>
          <w:szCs w:val="24"/>
          <w:shd w:val="clear" w:fill="FFFFFF"/>
        </w:rPr>
        <w:t>（二）专业技能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ascii="Arial Narrow" w:hAnsi="Arial Narrow"/>
          <w:color w:val="333333"/>
          <w:sz w:val="24"/>
          <w:szCs w:val="24"/>
          <w:shd w:val="clear" w:fill="FFFFFF"/>
        </w:rPr>
        <w:t>考试内容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1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、原始凭证的填制和审核；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2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、记账凭证的填制和审核；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3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、科目汇总表的编制；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4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、账簿登记；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5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、对账与结账；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6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、试算平衡；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06" w:afterAutospacing="0" w:line="440" w:lineRule="exact"/>
        <w:ind w:left="300" w:right="150" w:firstLine="480" w:firstLineChars="200"/>
        <w:jc w:val="left"/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</w:pPr>
      <w:r>
        <w:rPr>
          <w:rFonts w:hint="default" w:ascii="Arial Narrow" w:hAnsi="Arial Narrow" w:eastAsia="Arial Narrow" w:cs="Arial Narrow"/>
          <w:color w:val="333333"/>
          <w:sz w:val="24"/>
          <w:szCs w:val="24"/>
          <w:shd w:val="clear" w:fill="FFFFFF"/>
          <w:lang w:val="en-US"/>
        </w:rPr>
        <w:t>7</w:t>
      </w:r>
      <w:r>
        <w:rPr>
          <w:rFonts w:ascii="Arial Narrow" w:hAnsi="Arial Narrow"/>
          <w:color w:val="333333"/>
          <w:sz w:val="24"/>
          <w:szCs w:val="24"/>
          <w:shd w:val="clear" w:fill="FFFFFF"/>
        </w:rPr>
        <w:t>、会计报表的编制。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·ÂËÎ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3E36"/>
    <w:rsid w:val="081A35C2"/>
    <w:rsid w:val="3A534A80"/>
    <w:rsid w:val="432F09ED"/>
    <w:rsid w:val="52B13E36"/>
    <w:rsid w:val="624B7218"/>
    <w:rsid w:val="6D535020"/>
    <w:rsid w:val="720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sz w:val="21"/>
      <w:szCs w:val="21"/>
      <w:bdr w:val="single" w:color="FFFFFF" w:sz="6" w:space="0"/>
    </w:rPr>
  </w:style>
  <w:style w:type="character" w:styleId="5">
    <w:name w:val="FollowedHyperlink"/>
    <w:basedOn w:val="3"/>
    <w:uiPriority w:val="0"/>
    <w:rPr>
      <w:color w:val="646464"/>
      <w:u w:val="none"/>
    </w:rPr>
  </w:style>
  <w:style w:type="character" w:styleId="6">
    <w:name w:val="Emphasis"/>
    <w:basedOn w:val="3"/>
    <w:qFormat/>
    <w:uiPriority w:val="0"/>
    <w:rPr>
      <w:i/>
      <w:shd w:val="clear" w:fill="CFD2D5"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46464"/>
      <w:u w:val="none"/>
    </w:rPr>
  </w:style>
  <w:style w:type="character" w:styleId="11">
    <w:name w:val="HTML Code"/>
    <w:basedOn w:val="3"/>
    <w:uiPriority w:val="0"/>
    <w:rPr>
      <w:rFonts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hover40"/>
    <w:basedOn w:val="3"/>
    <w:uiPriority w:val="0"/>
    <w:rPr>
      <w:color w:val="9EBAC8"/>
      <w:shd w:val="clear" w:fill="1E2529"/>
    </w:rPr>
  </w:style>
  <w:style w:type="character" w:customStyle="1" w:styleId="15">
    <w:name w:val="previous"/>
    <w:basedOn w:val="3"/>
    <w:uiPriority w:val="0"/>
  </w:style>
  <w:style w:type="character" w:customStyle="1" w:styleId="16">
    <w:name w:val="next"/>
    <w:basedOn w:val="3"/>
    <w:uiPriority w:val="0"/>
    <w:rPr>
      <w:bdr w:val="none" w:color="auto" w:sz="0" w:space="0"/>
    </w:rPr>
  </w:style>
  <w:style w:type="character" w:customStyle="1" w:styleId="17">
    <w:name w:val="last"/>
    <w:basedOn w:val="3"/>
    <w:uiPriority w:val="0"/>
    <w:rPr>
      <w:bdr w:val="none" w:color="auto" w:sz="0" w:space="0"/>
    </w:rPr>
  </w:style>
  <w:style w:type="character" w:customStyle="1" w:styleId="18">
    <w:name w:val="first"/>
    <w:basedOn w:val="3"/>
    <w:uiPriority w:val="0"/>
    <w:rPr>
      <w:bdr w:val="none" w:color="auto" w:sz="0" w:space="0"/>
    </w:rPr>
  </w:style>
  <w:style w:type="character" w:customStyle="1" w:styleId="19">
    <w:name w:val="folder"/>
    <w:basedOn w:val="3"/>
    <w:uiPriority w:val="0"/>
    <w:rPr>
      <w:bdr w:val="none" w:color="auto" w:sz="0" w:space="0"/>
    </w:rPr>
  </w:style>
  <w:style w:type="character" w:customStyle="1" w:styleId="20">
    <w:name w:val="folder1"/>
    <w:basedOn w:val="3"/>
    <w:uiPriority w:val="0"/>
  </w:style>
  <w:style w:type="character" w:customStyle="1" w:styleId="21">
    <w:name w:val="file"/>
    <w:basedOn w:val="3"/>
    <w:uiPriority w:val="0"/>
    <w:rPr>
      <w:bdr w:val="none" w:color="auto" w:sz="0" w:space="0"/>
    </w:rPr>
  </w:style>
  <w:style w:type="character" w:customStyle="1" w:styleId="22">
    <w:name w:val="first1"/>
    <w:basedOn w:val="3"/>
    <w:uiPriority w:val="0"/>
    <w:rPr>
      <w:bdr w:val="none" w:color="auto" w:sz="0" w:space="0"/>
    </w:rPr>
  </w:style>
  <w:style w:type="character" w:customStyle="1" w:styleId="23">
    <w:name w:val="last2"/>
    <w:basedOn w:val="3"/>
    <w:uiPriority w:val="0"/>
    <w:rPr>
      <w:bdr w:val="none" w:color="auto" w:sz="0" w:space="0"/>
    </w:rPr>
  </w:style>
  <w:style w:type="character" w:customStyle="1" w:styleId="24">
    <w:name w:val="previous1"/>
    <w:basedOn w:val="3"/>
    <w:uiPriority w:val="0"/>
  </w:style>
  <w:style w:type="character" w:customStyle="1" w:styleId="25">
    <w:name w:val="hover43"/>
    <w:basedOn w:val="3"/>
    <w:uiPriority w:val="0"/>
    <w:rPr>
      <w:color w:val="9EBAC8"/>
      <w:shd w:val="clear" w:fill="1E2529"/>
    </w:rPr>
  </w:style>
  <w:style w:type="character" w:customStyle="1" w:styleId="26">
    <w:name w:val="hover41"/>
    <w:basedOn w:val="3"/>
    <w:uiPriority w:val="0"/>
    <w:rPr>
      <w:color w:val="9EBAC8"/>
      <w:shd w:val="clear" w:fill="1E2529"/>
    </w:rPr>
  </w:style>
  <w:style w:type="character" w:customStyle="1" w:styleId="27">
    <w:name w:val="next1"/>
    <w:basedOn w:val="3"/>
    <w:uiPriority w:val="0"/>
    <w:rPr>
      <w:bdr w:val="none" w:color="auto" w:sz="0" w:space="0"/>
    </w:rPr>
  </w:style>
  <w:style w:type="character" w:customStyle="1" w:styleId="28">
    <w:name w:val="hover"/>
    <w:basedOn w:val="3"/>
    <w:uiPriority w:val="0"/>
    <w:rPr>
      <w:color w:val="9EBAC8"/>
      <w:shd w:val="clear" w:fill="1E2529"/>
    </w:rPr>
  </w:style>
  <w:style w:type="character" w:customStyle="1" w:styleId="29">
    <w:name w:val="last3"/>
    <w:basedOn w:val="3"/>
    <w:uiPriority w:val="0"/>
    <w:rPr>
      <w:bdr w:val="none" w:color="auto" w:sz="0" w:space="0"/>
    </w:rPr>
  </w:style>
  <w:style w:type="character" w:customStyle="1" w:styleId="30">
    <w:name w:val="hover42"/>
    <w:basedOn w:val="3"/>
    <w:uiPriority w:val="0"/>
    <w:rPr>
      <w:color w:val="9EBAC8"/>
      <w:shd w:val="clear" w:fill="1E25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2018-05-07T06:24:00Z</dcterms:created>
  <dc:creator>Administrator</dc:creator>
  <cp:lastModifiedBy>Administrator</cp:lastModifiedBy>
  <dcterms:modified xsi:type="dcterms:W3CDTF">2018-05-07T06:27:14Z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