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>一、语文、数学、英语考试大纲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 参考《辽宁省职业教育中、高职对口招生考试纲要》。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300" w:lineRule="auto"/>
        <w:ind w:left="300" w:right="150"/>
        <w:jc w:val="left"/>
      </w:pPr>
      <w:r>
        <w:rPr>
          <w:rStyle w:val="4"/>
          <w:rFonts w:hint="eastAsia" w:ascii="宋体" w:hAnsi="宋体" w:eastAsia="宋体" w:cs="宋体"/>
          <w:b/>
          <w:i w:val="0"/>
          <w:sz w:val="24"/>
          <w:szCs w:val="24"/>
          <w:shd w:val="clear" w:fill="FFFFFF"/>
        </w:rPr>
        <w:t>    二、专业课考试大纲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uto"/>
        <w:ind w:left="300" w:right="150" w:firstLine="480" w:firstLineChars="200"/>
        <w:jc w:val="left"/>
        <w:rPr>
          <w:rFonts w:hint="eastAsia" w:ascii="宋体" w:hAnsi="宋体" w:eastAsia="宋体" w:cs="宋体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笔试“专业基础理论”，实际操作考试“专业技能”。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uto"/>
        <w:ind w:left="300" w:right="15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 （一）专业基础理论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1、导游业务知识 (占试卷分值50%)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1）熟悉导游人员的定义、分类；掌握导游员的职责、从业素质及应有的修养。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2）掌握全陪、地陪导游服务规范及程序和服务质量要求。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3）掌握游客个别要求的处理原则；掌握旅游者在住房、餐饮、购物方面个别要求的处理办法；掌握游客要求自由活动、亲友随团活动、转递物品和信件的处理办法。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）了解旅游事故的类型、特点；熟悉旅游事故的成因；掌握旅游事故处理的基本原则和程序；掌握旅游计划和行程变更的处理办法；掌握漏接、错接、空接和误机事故的预防与处理办法；掌握旅游者证件、行李、钱物遗失和旅游者走失的预防与处理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5）熟悉导游员带团的特点和原则；掌握导游员同游客交往的原则和技巧；掌握导游员引导旅游者行为，调动旅游者游兴的方法；掌握导游员同旅游接待单位、导游服务集体之间以及同司机之间合作共事的方法。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2、政策法规知识(占试卷分值50%)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了解《中华人民共和国宪法》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以下简称《宪法》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序言和总纲的内容；熟悉《宪法》规定的国家机构以及国旗、国歌、国徽和首都；掌握《宪法》规定的公民基本权利和义务。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了解《国家旅游局关于旅游不文明行为记录管理暂行办法》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旅办发〔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139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关于旅游者、旅游从业人员被纳入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旅游不文明行为记录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的主要行为、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旅游不文明行为记录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息内容以及评审、申辩、动态管理的规定；熟悉《中华人民共和国消费者权益保护法》的消费者定义及其权利、经营者的义务、消费者权益保护的途径；掌握《中华人民共和国旅游法》关于旅游者权利和义务的规定。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熟悉《中华人民共和国合同法》的基本原则、合同的订立、合同的内容与形式、合同的效力、合同的履行以及合同的变更、转让、解除和终止；掌握关于防止损失扩大义务的规定，合同违约责任的承担方式。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熟悉《中华人民共和国旅游法》、《旅行社条例》、《旅行社条例实施细则》《旅游服务质量保证金存取管理办法》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旅办发〔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2013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170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号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中关于旅行社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包括分支机构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设立与变更、经营范围、经营原则的规定；掌握旅行社的经营规范、旅行社权利和义务等法律制度及其相关法律责任的规定。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exact"/>
        <w:ind w:left="300" w:right="150" w:firstLine="480" w:firstLineChars="200"/>
        <w:jc w:val="left"/>
        <w:rPr>
          <w:sz w:val="24"/>
          <w:szCs w:val="24"/>
          <w:bdr w:val="none" w:color="auto" w:sz="0" w:space="0"/>
          <w:shd w:val="clear" w:fill="FFFFFF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了解《导游领队引导文明旅游规范》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(LBT 039-2015)</w:t>
      </w:r>
      <w:r>
        <w:rPr>
          <w:rFonts w:hint="eastAsia" w:ascii="Times New Roman" w:hAnsi="Times New Roman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于引导旅游者文明旅游的总体要求；掌握《中华人民共和国旅游法》《旅行社条例》《导游人员管理条例》中关于导游资格考试制度、执业许可制度和执业行为规范、导游从事领队服务的条件、导游的权利和义务及其相关法律责任的规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/>
        <w:ind w:left="300" w:right="150"/>
        <w:jc w:val="left"/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      6）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了解旅游突发事件等级及相关罚则的规定；掌握《中华人民共和国旅游法》《旅游安全管理办法》中旅游目的地安全风险提示制度的规定。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00" w:right="150"/>
        <w:jc w:val="left"/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 （二）专业技能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1、考核内容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仿宋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围绕</w:t>
      </w:r>
      <w:r>
        <w:rPr>
          <w:rFonts w:hint="eastAsia" w:ascii="宋体" w:hAnsi="宋体" w:eastAsia="宋体" w:cs="仿宋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导游服务技能 </w:t>
      </w:r>
      <w:r>
        <w:rPr>
          <w:rFonts w:hint="eastAsia" w:ascii="宋体" w:hAnsi="宋体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仿宋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人际沟通技能</w:t>
      </w:r>
      <w:r>
        <w:rPr>
          <w:rFonts w:hint="eastAsia" w:ascii="宋体" w:hAnsi="宋体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</w:t>
      </w:r>
      <w:r>
        <w:rPr>
          <w:rFonts w:hint="eastAsia" w:ascii="宋体" w:hAnsi="宋体" w:eastAsia="宋体" w:cs="仿宋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应急事件处理技能三大项，拟定导游服务专业技能具体考核内容如下：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普通话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考核项目：普通话作品朗读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</w:t>
      </w: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人际沟通与应急事件处理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考核项目：案例分析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</w:t>
      </w: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才艺展示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default" w:ascii="·ÂËÎ" w:hAnsi="·ÂËÎ" w:eastAsia="·ÂËÎ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·ÂËÎ" w:hAnsi="·ÂËÎ" w:eastAsia="宋体" w:cs="·ÂËÎ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考核项目：个人才艺展示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2" w:firstLineChars="200"/>
        <w:jc w:val="left"/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2、评分标准（满分100分）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（1）普通话测试（满分50分）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评分标准：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【好】50-40分：普通话语音语调非常标准；口齿非常清晰；表达非常流畅。　　　　　　　　　　　　　　　　　　　　　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【较好】39-30分：普通话语音语调比较标准；口齿比较清晰；表达比较流畅。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【一般】29-20分：普通话语音语调基本准确；口齿基本清晰；表达基本流畅。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（2）人际沟通与事件处理（满分30分）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评分标准：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【好】30—25 分：人际问题回答非常正确；解决办法非常合理；表述非常流畅；学习生活启示阐述非常正确。　　　　　　　　　　　　　　　　　　　　　　　　　　　　　　　　　　　　　　　　　　　　　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【较好】24--20分：人际问题回答比较正确；解决办法比较合理；表述比较流畅；学习生活启示阐述比较正确。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【一般】19-15分：人际问题回答基本正确；解决办法基本合理；表述基本流畅；学习生活启示阐述基本正确。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（3）才艺展示（满分20分）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评分标准：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【好】20-15分：衣着符合节目主题；表演自然、流畅，无差错；临场发挥稳定，感染力强；表演专业。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exact"/>
        <w:ind w:left="300" w:right="15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【较好】14-10分：衣着比较符合节目主题；表演比较自然、流畅，无差错；临场发挥比较稳定，有感染力；表演比较专业。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/>
        <w:ind w:left="300" w:right="150"/>
        <w:jc w:val="left"/>
      </w:pPr>
      <w:r>
        <w:rPr>
          <w:rFonts w:hint="eastAsia" w:ascii="宋体" w:hAnsi="宋体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    【一般】9-5分：衣着基本符合节目主题；表演基本流畅；临场发挥基本稳定，感染力一般；表演一般。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·ÂËÎ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3E36"/>
    <w:rsid w:val="432F09ED"/>
    <w:rsid w:val="52B13E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46464"/>
      <w:u w:val="none"/>
    </w:rPr>
  </w:style>
  <w:style w:type="character" w:styleId="6">
    <w:name w:val="Emphasis"/>
    <w:basedOn w:val="3"/>
    <w:qFormat/>
    <w:uiPriority w:val="0"/>
    <w:rPr>
      <w:i/>
      <w:shd w:val="clear" w:fill="CFD2D5"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646464"/>
      <w:u w:val="none"/>
    </w:rPr>
  </w:style>
  <w:style w:type="character" w:styleId="11">
    <w:name w:val="HTML Code"/>
    <w:basedOn w:val="3"/>
    <w:uiPriority w:val="0"/>
    <w:rPr>
      <w:rFonts w:ascii="Courier New" w:hAnsi="Courier New" w:cs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hover40"/>
    <w:basedOn w:val="3"/>
    <w:uiPriority w:val="0"/>
    <w:rPr>
      <w:color w:val="9EBAC8"/>
      <w:shd w:val="clear" w:fill="1E2529"/>
    </w:rPr>
  </w:style>
  <w:style w:type="character" w:customStyle="1" w:styleId="15">
    <w:name w:val="previous"/>
    <w:basedOn w:val="3"/>
    <w:uiPriority w:val="0"/>
  </w:style>
  <w:style w:type="character" w:customStyle="1" w:styleId="16">
    <w:name w:val="next"/>
    <w:basedOn w:val="3"/>
    <w:uiPriority w:val="0"/>
    <w:rPr>
      <w:bdr w:val="none" w:color="auto" w:sz="0" w:space="0"/>
    </w:rPr>
  </w:style>
  <w:style w:type="character" w:customStyle="1" w:styleId="17">
    <w:name w:val="last"/>
    <w:basedOn w:val="3"/>
    <w:uiPriority w:val="0"/>
    <w:rPr>
      <w:bdr w:val="none" w:color="auto" w:sz="0" w:space="0"/>
    </w:rPr>
  </w:style>
  <w:style w:type="character" w:customStyle="1" w:styleId="18">
    <w:name w:val="first"/>
    <w:basedOn w:val="3"/>
    <w:uiPriority w:val="0"/>
    <w:rPr>
      <w:bdr w:val="none" w:color="auto" w:sz="0" w:space="0"/>
    </w:rPr>
  </w:style>
  <w:style w:type="character" w:customStyle="1" w:styleId="19">
    <w:name w:val="folder"/>
    <w:basedOn w:val="3"/>
    <w:uiPriority w:val="0"/>
    <w:rPr>
      <w:bdr w:val="none" w:color="auto" w:sz="0" w:space="0"/>
    </w:rPr>
  </w:style>
  <w:style w:type="character" w:customStyle="1" w:styleId="20">
    <w:name w:val="folder1"/>
    <w:basedOn w:val="3"/>
    <w:uiPriority w:val="0"/>
  </w:style>
  <w:style w:type="character" w:customStyle="1" w:styleId="21">
    <w:name w:val="file"/>
    <w:basedOn w:val="3"/>
    <w:uiPriority w:val="0"/>
    <w:rPr>
      <w:bdr w:val="none" w:color="auto" w:sz="0" w:space="0"/>
    </w:rPr>
  </w:style>
  <w:style w:type="character" w:customStyle="1" w:styleId="22">
    <w:name w:val="first1"/>
    <w:basedOn w:val="3"/>
    <w:uiPriority w:val="0"/>
    <w:rPr>
      <w:bdr w:val="none" w:color="auto" w:sz="0" w:space="0"/>
    </w:rPr>
  </w:style>
  <w:style w:type="character" w:customStyle="1" w:styleId="23">
    <w:name w:val="last2"/>
    <w:basedOn w:val="3"/>
    <w:uiPriority w:val="0"/>
    <w:rPr>
      <w:bdr w:val="none" w:color="auto" w:sz="0" w:space="0"/>
    </w:rPr>
  </w:style>
  <w:style w:type="character" w:customStyle="1" w:styleId="24">
    <w:name w:val="previous1"/>
    <w:basedOn w:val="3"/>
    <w:uiPriority w:val="0"/>
  </w:style>
  <w:style w:type="character" w:customStyle="1" w:styleId="25">
    <w:name w:val="hover43"/>
    <w:basedOn w:val="3"/>
    <w:uiPriority w:val="0"/>
    <w:rPr>
      <w:color w:val="9EBAC8"/>
      <w:shd w:val="clear" w:fill="1E25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2018-05-07T06:24:00Z</dcterms:created>
  <dc:creator>Administrator</dc:creator>
  <cp:lastModifiedBy>Administrator</cp:lastModifiedBy>
  <dcterms:modified xsi:type="dcterms:W3CDTF">2018-05-07T06:25:32Z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